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C3" w:rsidRPr="002079C3" w:rsidRDefault="002079C3" w:rsidP="002079C3">
      <w:pPr>
        <w:widowControl/>
        <w:shd w:val="clear" w:color="auto" w:fill="FFFFFF"/>
        <w:jc w:val="center"/>
        <w:rPr>
          <w:rFonts w:ascii="微软雅黑" w:eastAsia="微软雅黑" w:hAnsi="微软雅黑" w:cs="宋体"/>
          <w:color w:val="000000"/>
          <w:kern w:val="0"/>
          <w:sz w:val="36"/>
          <w:szCs w:val="36"/>
        </w:rPr>
      </w:pPr>
      <w:r w:rsidRPr="002079C3">
        <w:rPr>
          <w:rFonts w:ascii="微软雅黑" w:eastAsia="微软雅黑" w:hAnsi="微软雅黑" w:cs="宋体" w:hint="eastAsia"/>
          <w:b/>
          <w:bCs/>
          <w:color w:val="FF0000"/>
          <w:kern w:val="0"/>
          <w:sz w:val="36"/>
          <w:szCs w:val="36"/>
        </w:rPr>
        <w:t>住房和城乡建设部行政规范性文件</w:t>
      </w:r>
    </w:p>
    <w:p w:rsidR="002079C3" w:rsidRPr="002079C3" w:rsidRDefault="00351EC4" w:rsidP="002079C3">
      <w:pPr>
        <w:widowControl/>
        <w:shd w:val="clear" w:color="auto" w:fill="FFFFFF"/>
        <w:jc w:val="center"/>
        <w:rPr>
          <w:rFonts w:ascii="微软雅黑" w:eastAsia="微软雅黑" w:hAnsi="微软雅黑" w:cs="宋体"/>
          <w:color w:val="000000"/>
          <w:kern w:val="0"/>
          <w:szCs w:val="21"/>
        </w:rPr>
      </w:pPr>
      <w:hyperlink r:id="rId4" w:tooltip="下载文字版" w:history="1">
        <w:r w:rsidR="002079C3" w:rsidRPr="002079C3">
          <w:rPr>
            <w:rFonts w:ascii="微软雅黑" w:eastAsia="微软雅黑" w:hAnsi="微软雅黑" w:cs="宋体" w:hint="eastAsia"/>
            <w:color w:val="666666"/>
            <w:kern w:val="0"/>
            <w:szCs w:val="21"/>
            <w:u w:val="single"/>
            <w:bdr w:val="single" w:sz="6" w:space="0" w:color="D2D2D2" w:frame="1"/>
          </w:rPr>
          <w:t>下载文字版</w:t>
        </w:r>
      </w:hyperlink>
      <w:hyperlink r:id="rId5" w:tooltip="下载图片版" w:history="1">
        <w:r w:rsidR="002079C3" w:rsidRPr="002079C3">
          <w:rPr>
            <w:rFonts w:ascii="微软雅黑" w:eastAsia="微软雅黑" w:hAnsi="微软雅黑" w:cs="宋体" w:hint="eastAsia"/>
            <w:color w:val="666666"/>
            <w:kern w:val="0"/>
            <w:szCs w:val="21"/>
            <w:u w:val="single"/>
            <w:bdr w:val="single" w:sz="6" w:space="0" w:color="D2D2D2" w:frame="1"/>
          </w:rPr>
          <w:t>下载图片版</w:t>
        </w:r>
      </w:hyperlink>
    </w:p>
    <w:tbl>
      <w:tblPr>
        <w:tblW w:w="0" w:type="auto"/>
        <w:tblCellMar>
          <w:top w:w="15" w:type="dxa"/>
          <w:left w:w="15" w:type="dxa"/>
          <w:bottom w:w="15" w:type="dxa"/>
          <w:right w:w="15" w:type="dxa"/>
        </w:tblCellMar>
        <w:tblLook w:val="04A0" w:firstRow="1" w:lastRow="0" w:firstColumn="1" w:lastColumn="0" w:noHBand="0" w:noVBand="1"/>
      </w:tblPr>
      <w:tblGrid>
        <w:gridCol w:w="1276"/>
        <w:gridCol w:w="3052"/>
        <w:gridCol w:w="1276"/>
        <w:gridCol w:w="2702"/>
      </w:tblGrid>
      <w:tr w:rsidR="002079C3" w:rsidRPr="002079C3" w:rsidTr="002079C3">
        <w:trPr>
          <w:tblHeader/>
        </w:trPr>
        <w:tc>
          <w:tcPr>
            <w:tcW w:w="1200" w:type="dxa"/>
            <w:tcMar>
              <w:top w:w="0" w:type="dxa"/>
              <w:left w:w="0" w:type="dxa"/>
              <w:bottom w:w="0" w:type="dxa"/>
              <w:right w:w="0" w:type="dxa"/>
            </w:tcMar>
            <w:vAlign w:val="center"/>
            <w:hideMark/>
          </w:tcPr>
          <w:p w:rsidR="002079C3" w:rsidRPr="002079C3" w:rsidRDefault="002079C3" w:rsidP="002079C3">
            <w:pPr>
              <w:widowControl/>
              <w:shd w:val="clear" w:color="auto" w:fill="FFFFFF"/>
              <w:jc w:val="center"/>
              <w:rPr>
                <w:rFonts w:ascii="微软雅黑" w:eastAsia="微软雅黑" w:hAnsi="微软雅黑" w:cs="宋体"/>
                <w:color w:val="000000"/>
                <w:kern w:val="0"/>
                <w:szCs w:val="21"/>
              </w:rPr>
            </w:pPr>
          </w:p>
        </w:tc>
        <w:tc>
          <w:tcPr>
            <w:tcW w:w="7358" w:type="dxa"/>
            <w:tcMar>
              <w:top w:w="0" w:type="dxa"/>
              <w:left w:w="0" w:type="dxa"/>
              <w:bottom w:w="0" w:type="dxa"/>
              <w:right w:w="0" w:type="dxa"/>
            </w:tcMar>
            <w:vAlign w:val="center"/>
            <w:hideMark/>
          </w:tcPr>
          <w:p w:rsidR="002079C3" w:rsidRPr="002079C3" w:rsidRDefault="002079C3" w:rsidP="002079C3">
            <w:pPr>
              <w:widowControl/>
              <w:wordWrap w:val="0"/>
              <w:jc w:val="center"/>
              <w:rPr>
                <w:rFonts w:ascii="Times New Roman" w:eastAsia="Times New Roman" w:hAnsi="Times New Roman" w:cs="Times New Roman"/>
                <w:kern w:val="0"/>
                <w:sz w:val="20"/>
                <w:szCs w:val="20"/>
              </w:rPr>
            </w:pPr>
          </w:p>
        </w:tc>
        <w:tc>
          <w:tcPr>
            <w:tcW w:w="1200" w:type="dxa"/>
            <w:tcMar>
              <w:top w:w="0" w:type="dxa"/>
              <w:left w:w="0" w:type="dxa"/>
              <w:bottom w:w="0" w:type="dxa"/>
              <w:right w:w="0" w:type="dxa"/>
            </w:tcMar>
            <w:vAlign w:val="center"/>
            <w:hideMark/>
          </w:tcPr>
          <w:p w:rsidR="002079C3" w:rsidRPr="002079C3" w:rsidRDefault="002079C3" w:rsidP="002079C3">
            <w:pPr>
              <w:widowControl/>
              <w:wordWrap w:val="0"/>
              <w:jc w:val="center"/>
              <w:rPr>
                <w:rFonts w:ascii="Times New Roman" w:eastAsia="Times New Roman" w:hAnsi="Times New Roman" w:cs="Times New Roman"/>
                <w:kern w:val="0"/>
                <w:sz w:val="20"/>
                <w:szCs w:val="20"/>
              </w:rPr>
            </w:pPr>
          </w:p>
        </w:tc>
        <w:tc>
          <w:tcPr>
            <w:tcW w:w="7342" w:type="dxa"/>
            <w:tcMar>
              <w:top w:w="0" w:type="dxa"/>
              <w:left w:w="0" w:type="dxa"/>
              <w:bottom w:w="0" w:type="dxa"/>
              <w:right w:w="0" w:type="dxa"/>
            </w:tcMar>
            <w:vAlign w:val="center"/>
            <w:hideMark/>
          </w:tcPr>
          <w:p w:rsidR="002079C3" w:rsidRPr="002079C3" w:rsidRDefault="002079C3" w:rsidP="002079C3">
            <w:pPr>
              <w:widowControl/>
              <w:wordWrap w:val="0"/>
              <w:jc w:val="center"/>
              <w:rPr>
                <w:rFonts w:ascii="Times New Roman" w:eastAsia="Times New Roman" w:hAnsi="Times New Roman" w:cs="Times New Roman"/>
                <w:kern w:val="0"/>
                <w:sz w:val="20"/>
                <w:szCs w:val="20"/>
              </w:rPr>
            </w:pPr>
          </w:p>
        </w:tc>
      </w:tr>
      <w:tr w:rsidR="002079C3" w:rsidRPr="002079C3" w:rsidTr="002079C3">
        <w:tc>
          <w:tcPr>
            <w:tcW w:w="1260" w:type="dxa"/>
            <w:noWrap/>
            <w:tcMar>
              <w:top w:w="0" w:type="dxa"/>
              <w:left w:w="0" w:type="dxa"/>
              <w:bottom w:w="0" w:type="dxa"/>
              <w:right w:w="0" w:type="dxa"/>
            </w:tcMar>
            <w:hideMark/>
          </w:tcPr>
          <w:p w:rsidR="002079C3" w:rsidRPr="002079C3" w:rsidRDefault="002079C3" w:rsidP="002079C3">
            <w:pPr>
              <w:widowControl/>
              <w:wordWrap w:val="0"/>
              <w:spacing w:line="420" w:lineRule="atLeast"/>
              <w:jc w:val="left"/>
              <w:rPr>
                <w:rFonts w:ascii="微软雅黑" w:eastAsia="微软雅黑" w:hAnsi="微软雅黑" w:cs="宋体"/>
                <w:kern w:val="0"/>
                <w:szCs w:val="21"/>
              </w:rPr>
            </w:pPr>
            <w:r w:rsidRPr="002079C3">
              <w:rPr>
                <w:rFonts w:ascii="微软雅黑" w:eastAsia="微软雅黑" w:hAnsi="微软雅黑" w:cs="宋体" w:hint="eastAsia"/>
                <w:kern w:val="0"/>
                <w:szCs w:val="21"/>
              </w:rPr>
              <w:t>公文名称：</w:t>
            </w:r>
          </w:p>
        </w:tc>
        <w:tc>
          <w:tcPr>
            <w:tcW w:w="0" w:type="auto"/>
            <w:gridSpan w:val="3"/>
            <w:tcMar>
              <w:top w:w="0" w:type="dxa"/>
              <w:left w:w="0" w:type="dxa"/>
              <w:bottom w:w="0" w:type="dxa"/>
              <w:right w:w="0" w:type="dxa"/>
            </w:tcMar>
            <w:hideMark/>
          </w:tcPr>
          <w:p w:rsidR="002079C3" w:rsidRPr="002079C3" w:rsidRDefault="002079C3" w:rsidP="002079C3">
            <w:pPr>
              <w:widowControl/>
              <w:wordWrap w:val="0"/>
              <w:spacing w:line="420" w:lineRule="atLeast"/>
              <w:jc w:val="left"/>
              <w:rPr>
                <w:rFonts w:ascii="微软雅黑" w:eastAsia="微软雅黑" w:hAnsi="微软雅黑" w:cs="宋体"/>
                <w:kern w:val="0"/>
                <w:szCs w:val="21"/>
              </w:rPr>
            </w:pPr>
            <w:r w:rsidRPr="002079C3">
              <w:rPr>
                <w:rFonts w:ascii="微软雅黑" w:eastAsia="微软雅黑" w:hAnsi="微软雅黑" w:cs="宋体" w:hint="eastAsia"/>
                <w:kern w:val="0"/>
                <w:szCs w:val="21"/>
              </w:rPr>
              <w:t>住房和城乡建设部办公厅关于取消工程造价咨询企业资质审批加强事中事后监管的通知</w:t>
            </w:r>
          </w:p>
        </w:tc>
      </w:tr>
      <w:tr w:rsidR="002079C3" w:rsidRPr="002079C3" w:rsidTr="002079C3">
        <w:tc>
          <w:tcPr>
            <w:tcW w:w="1260" w:type="dxa"/>
            <w:noWrap/>
            <w:tcMar>
              <w:top w:w="0" w:type="dxa"/>
              <w:left w:w="0" w:type="dxa"/>
              <w:bottom w:w="0" w:type="dxa"/>
              <w:right w:w="0" w:type="dxa"/>
            </w:tcMar>
            <w:hideMark/>
          </w:tcPr>
          <w:p w:rsidR="002079C3" w:rsidRPr="002079C3" w:rsidRDefault="002079C3" w:rsidP="002079C3">
            <w:pPr>
              <w:widowControl/>
              <w:wordWrap w:val="0"/>
              <w:spacing w:line="420" w:lineRule="atLeast"/>
              <w:jc w:val="left"/>
              <w:rPr>
                <w:rFonts w:ascii="微软雅黑" w:eastAsia="微软雅黑" w:hAnsi="微软雅黑" w:cs="宋体"/>
                <w:kern w:val="0"/>
                <w:szCs w:val="21"/>
              </w:rPr>
            </w:pPr>
            <w:r w:rsidRPr="002079C3">
              <w:rPr>
                <w:rFonts w:ascii="微软雅黑" w:eastAsia="微软雅黑" w:hAnsi="微软雅黑" w:cs="宋体" w:hint="eastAsia"/>
                <w:kern w:val="0"/>
                <w:szCs w:val="21"/>
              </w:rPr>
              <w:t>索</w:t>
            </w:r>
            <w:r w:rsidRPr="002079C3">
              <w:rPr>
                <w:rFonts w:ascii="微软雅黑" w:eastAsia="微软雅黑" w:hAnsi="微软雅黑" w:cs="宋体" w:hint="eastAsia"/>
                <w:kern w:val="0"/>
                <w:szCs w:val="21"/>
              </w:rPr>
              <w:t> </w:t>
            </w:r>
            <w:r w:rsidRPr="002079C3">
              <w:rPr>
                <w:rFonts w:ascii="微软雅黑" w:eastAsia="微软雅黑" w:hAnsi="微软雅黑" w:cs="宋体" w:hint="eastAsia"/>
                <w:kern w:val="0"/>
                <w:szCs w:val="21"/>
              </w:rPr>
              <w:t>引</w:t>
            </w:r>
            <w:r w:rsidRPr="002079C3">
              <w:rPr>
                <w:rFonts w:ascii="微软雅黑" w:eastAsia="微软雅黑" w:hAnsi="微软雅黑" w:cs="宋体" w:hint="eastAsia"/>
                <w:kern w:val="0"/>
                <w:szCs w:val="21"/>
              </w:rPr>
              <w:t> </w:t>
            </w:r>
            <w:r w:rsidRPr="002079C3">
              <w:rPr>
                <w:rFonts w:ascii="微软雅黑" w:eastAsia="微软雅黑" w:hAnsi="微软雅黑" w:cs="宋体" w:hint="eastAsia"/>
                <w:kern w:val="0"/>
                <w:szCs w:val="21"/>
              </w:rPr>
              <w:t>号：</w:t>
            </w:r>
          </w:p>
        </w:tc>
        <w:tc>
          <w:tcPr>
            <w:tcW w:w="0" w:type="auto"/>
            <w:tcMar>
              <w:top w:w="0" w:type="dxa"/>
              <w:left w:w="0" w:type="dxa"/>
              <w:bottom w:w="0" w:type="dxa"/>
              <w:right w:w="600" w:type="dxa"/>
            </w:tcMar>
            <w:hideMark/>
          </w:tcPr>
          <w:p w:rsidR="002079C3" w:rsidRPr="002079C3" w:rsidRDefault="002079C3" w:rsidP="002079C3">
            <w:pPr>
              <w:widowControl/>
              <w:wordWrap w:val="0"/>
              <w:spacing w:line="420" w:lineRule="atLeast"/>
              <w:jc w:val="left"/>
              <w:rPr>
                <w:rFonts w:ascii="微软雅黑" w:eastAsia="微软雅黑" w:hAnsi="微软雅黑" w:cs="宋体"/>
                <w:kern w:val="0"/>
                <w:szCs w:val="21"/>
              </w:rPr>
            </w:pPr>
            <w:r w:rsidRPr="002079C3">
              <w:rPr>
                <w:rFonts w:ascii="微软雅黑" w:eastAsia="微软雅黑" w:hAnsi="微软雅黑" w:cs="宋体" w:hint="eastAsia"/>
                <w:kern w:val="0"/>
                <w:szCs w:val="21"/>
              </w:rPr>
              <w:t>000013338/2021-00275</w:t>
            </w:r>
          </w:p>
        </w:tc>
        <w:tc>
          <w:tcPr>
            <w:tcW w:w="1260" w:type="dxa"/>
            <w:noWrap/>
            <w:tcMar>
              <w:top w:w="0" w:type="dxa"/>
              <w:left w:w="0" w:type="dxa"/>
              <w:bottom w:w="0" w:type="dxa"/>
              <w:right w:w="0" w:type="dxa"/>
            </w:tcMar>
            <w:hideMark/>
          </w:tcPr>
          <w:p w:rsidR="002079C3" w:rsidRPr="002079C3" w:rsidRDefault="002079C3" w:rsidP="002079C3">
            <w:pPr>
              <w:widowControl/>
              <w:wordWrap w:val="0"/>
              <w:spacing w:line="420" w:lineRule="atLeast"/>
              <w:jc w:val="left"/>
              <w:rPr>
                <w:rFonts w:ascii="微软雅黑" w:eastAsia="微软雅黑" w:hAnsi="微软雅黑" w:cs="宋体"/>
                <w:kern w:val="0"/>
                <w:szCs w:val="21"/>
              </w:rPr>
            </w:pPr>
            <w:proofErr w:type="gramStart"/>
            <w:r w:rsidRPr="002079C3">
              <w:rPr>
                <w:rFonts w:ascii="微软雅黑" w:eastAsia="微软雅黑" w:hAnsi="微软雅黑" w:cs="宋体" w:hint="eastAsia"/>
                <w:kern w:val="0"/>
                <w:szCs w:val="21"/>
              </w:rPr>
              <w:t xml:space="preserve">分　　</w:t>
            </w:r>
            <w:proofErr w:type="gramEnd"/>
            <w:r w:rsidRPr="002079C3">
              <w:rPr>
                <w:rFonts w:ascii="微软雅黑" w:eastAsia="微软雅黑" w:hAnsi="微软雅黑" w:cs="宋体" w:hint="eastAsia"/>
                <w:kern w:val="0"/>
                <w:szCs w:val="21"/>
              </w:rPr>
              <w:t>类：</w:t>
            </w:r>
          </w:p>
        </w:tc>
        <w:tc>
          <w:tcPr>
            <w:tcW w:w="0" w:type="auto"/>
            <w:tcMar>
              <w:top w:w="0" w:type="dxa"/>
              <w:left w:w="0" w:type="dxa"/>
              <w:bottom w:w="0" w:type="dxa"/>
              <w:right w:w="0" w:type="dxa"/>
            </w:tcMar>
            <w:hideMark/>
          </w:tcPr>
          <w:p w:rsidR="002079C3" w:rsidRPr="002079C3" w:rsidRDefault="002079C3" w:rsidP="002079C3">
            <w:pPr>
              <w:widowControl/>
              <w:wordWrap w:val="0"/>
              <w:spacing w:line="420" w:lineRule="atLeast"/>
              <w:jc w:val="left"/>
              <w:rPr>
                <w:rFonts w:ascii="微软雅黑" w:eastAsia="微软雅黑" w:hAnsi="微软雅黑" w:cs="宋体"/>
                <w:kern w:val="0"/>
                <w:szCs w:val="21"/>
              </w:rPr>
            </w:pPr>
            <w:r w:rsidRPr="002079C3">
              <w:rPr>
                <w:rFonts w:ascii="微软雅黑" w:eastAsia="微软雅黑" w:hAnsi="微软雅黑" w:cs="宋体" w:hint="eastAsia"/>
                <w:kern w:val="0"/>
                <w:szCs w:val="21"/>
              </w:rPr>
              <w:t>标准定额（标准科技）</w:t>
            </w:r>
          </w:p>
        </w:tc>
      </w:tr>
      <w:tr w:rsidR="002079C3" w:rsidRPr="002079C3" w:rsidTr="002079C3">
        <w:tc>
          <w:tcPr>
            <w:tcW w:w="1260" w:type="dxa"/>
            <w:noWrap/>
            <w:tcMar>
              <w:top w:w="0" w:type="dxa"/>
              <w:left w:w="0" w:type="dxa"/>
              <w:bottom w:w="0" w:type="dxa"/>
              <w:right w:w="0" w:type="dxa"/>
            </w:tcMar>
            <w:hideMark/>
          </w:tcPr>
          <w:p w:rsidR="002079C3" w:rsidRPr="002079C3" w:rsidRDefault="002079C3" w:rsidP="002079C3">
            <w:pPr>
              <w:widowControl/>
              <w:wordWrap w:val="0"/>
              <w:spacing w:line="420" w:lineRule="atLeast"/>
              <w:jc w:val="left"/>
              <w:rPr>
                <w:rFonts w:ascii="微软雅黑" w:eastAsia="微软雅黑" w:hAnsi="微软雅黑" w:cs="宋体"/>
                <w:kern w:val="0"/>
                <w:szCs w:val="21"/>
              </w:rPr>
            </w:pPr>
            <w:r w:rsidRPr="002079C3">
              <w:rPr>
                <w:rFonts w:ascii="微软雅黑" w:eastAsia="微软雅黑" w:hAnsi="微软雅黑" w:cs="宋体" w:hint="eastAsia"/>
                <w:kern w:val="0"/>
                <w:szCs w:val="21"/>
              </w:rPr>
              <w:t>发文单位：</w:t>
            </w:r>
          </w:p>
        </w:tc>
        <w:tc>
          <w:tcPr>
            <w:tcW w:w="0" w:type="auto"/>
            <w:tcMar>
              <w:top w:w="0" w:type="dxa"/>
              <w:left w:w="0" w:type="dxa"/>
              <w:bottom w:w="0" w:type="dxa"/>
              <w:right w:w="600" w:type="dxa"/>
            </w:tcMar>
            <w:hideMark/>
          </w:tcPr>
          <w:p w:rsidR="002079C3" w:rsidRPr="002079C3" w:rsidRDefault="002079C3" w:rsidP="002079C3">
            <w:pPr>
              <w:widowControl/>
              <w:wordWrap w:val="0"/>
              <w:spacing w:line="420" w:lineRule="atLeast"/>
              <w:jc w:val="left"/>
              <w:rPr>
                <w:rFonts w:ascii="微软雅黑" w:eastAsia="微软雅黑" w:hAnsi="微软雅黑" w:cs="宋体"/>
                <w:kern w:val="0"/>
                <w:szCs w:val="21"/>
              </w:rPr>
            </w:pPr>
            <w:r w:rsidRPr="002079C3">
              <w:rPr>
                <w:rFonts w:ascii="微软雅黑" w:eastAsia="微软雅黑" w:hAnsi="微软雅黑" w:cs="宋体" w:hint="eastAsia"/>
                <w:kern w:val="0"/>
                <w:szCs w:val="21"/>
              </w:rPr>
              <w:t>住房和城乡建设部办公厅</w:t>
            </w:r>
          </w:p>
        </w:tc>
        <w:tc>
          <w:tcPr>
            <w:tcW w:w="1260" w:type="dxa"/>
            <w:noWrap/>
            <w:tcMar>
              <w:top w:w="0" w:type="dxa"/>
              <w:left w:w="0" w:type="dxa"/>
              <w:bottom w:w="0" w:type="dxa"/>
              <w:right w:w="0" w:type="dxa"/>
            </w:tcMar>
            <w:hideMark/>
          </w:tcPr>
          <w:p w:rsidR="002079C3" w:rsidRPr="002079C3" w:rsidRDefault="002079C3" w:rsidP="002079C3">
            <w:pPr>
              <w:widowControl/>
              <w:wordWrap w:val="0"/>
              <w:spacing w:line="420" w:lineRule="atLeast"/>
              <w:jc w:val="left"/>
              <w:rPr>
                <w:rFonts w:ascii="微软雅黑" w:eastAsia="微软雅黑" w:hAnsi="微软雅黑" w:cs="宋体"/>
                <w:kern w:val="0"/>
                <w:szCs w:val="21"/>
              </w:rPr>
            </w:pPr>
            <w:r w:rsidRPr="002079C3">
              <w:rPr>
                <w:rFonts w:ascii="微软雅黑" w:eastAsia="微软雅黑" w:hAnsi="微软雅黑" w:cs="宋体" w:hint="eastAsia"/>
                <w:kern w:val="0"/>
                <w:szCs w:val="21"/>
              </w:rPr>
              <w:t>发文日期：</w:t>
            </w:r>
          </w:p>
        </w:tc>
        <w:tc>
          <w:tcPr>
            <w:tcW w:w="0" w:type="auto"/>
            <w:tcMar>
              <w:top w:w="0" w:type="dxa"/>
              <w:left w:w="0" w:type="dxa"/>
              <w:bottom w:w="0" w:type="dxa"/>
              <w:right w:w="0" w:type="dxa"/>
            </w:tcMar>
            <w:hideMark/>
          </w:tcPr>
          <w:p w:rsidR="002079C3" w:rsidRPr="002079C3" w:rsidRDefault="002079C3" w:rsidP="002079C3">
            <w:pPr>
              <w:widowControl/>
              <w:wordWrap w:val="0"/>
              <w:spacing w:line="420" w:lineRule="atLeast"/>
              <w:jc w:val="left"/>
              <w:rPr>
                <w:rFonts w:ascii="微软雅黑" w:eastAsia="微软雅黑" w:hAnsi="微软雅黑" w:cs="宋体"/>
                <w:kern w:val="0"/>
                <w:szCs w:val="21"/>
              </w:rPr>
            </w:pPr>
            <w:r w:rsidRPr="002079C3">
              <w:rPr>
                <w:rFonts w:ascii="微软雅黑" w:eastAsia="微软雅黑" w:hAnsi="微软雅黑" w:cs="宋体" w:hint="eastAsia"/>
                <w:kern w:val="0"/>
                <w:szCs w:val="21"/>
              </w:rPr>
              <w:t>2021-06-28</w:t>
            </w:r>
          </w:p>
        </w:tc>
      </w:tr>
      <w:tr w:rsidR="002079C3" w:rsidRPr="002079C3" w:rsidTr="002079C3">
        <w:tc>
          <w:tcPr>
            <w:tcW w:w="1260" w:type="dxa"/>
            <w:noWrap/>
            <w:tcMar>
              <w:top w:w="0" w:type="dxa"/>
              <w:left w:w="0" w:type="dxa"/>
              <w:bottom w:w="0" w:type="dxa"/>
              <w:right w:w="0" w:type="dxa"/>
            </w:tcMar>
            <w:hideMark/>
          </w:tcPr>
          <w:p w:rsidR="002079C3" w:rsidRPr="002079C3" w:rsidRDefault="002079C3" w:rsidP="002079C3">
            <w:pPr>
              <w:widowControl/>
              <w:wordWrap w:val="0"/>
              <w:spacing w:line="420" w:lineRule="atLeast"/>
              <w:jc w:val="left"/>
              <w:rPr>
                <w:rFonts w:ascii="微软雅黑" w:eastAsia="微软雅黑" w:hAnsi="微软雅黑" w:cs="宋体"/>
                <w:kern w:val="0"/>
                <w:szCs w:val="21"/>
              </w:rPr>
            </w:pPr>
            <w:r w:rsidRPr="002079C3">
              <w:rPr>
                <w:rFonts w:ascii="微软雅黑" w:eastAsia="微软雅黑" w:hAnsi="微软雅黑" w:cs="宋体" w:hint="eastAsia"/>
                <w:kern w:val="0"/>
                <w:szCs w:val="21"/>
              </w:rPr>
              <w:t>文　　号：</w:t>
            </w:r>
          </w:p>
        </w:tc>
        <w:tc>
          <w:tcPr>
            <w:tcW w:w="0" w:type="auto"/>
            <w:tcMar>
              <w:top w:w="0" w:type="dxa"/>
              <w:left w:w="0" w:type="dxa"/>
              <w:bottom w:w="0" w:type="dxa"/>
              <w:right w:w="600" w:type="dxa"/>
            </w:tcMar>
            <w:hideMark/>
          </w:tcPr>
          <w:p w:rsidR="002079C3" w:rsidRPr="002079C3" w:rsidRDefault="002079C3" w:rsidP="002079C3">
            <w:pPr>
              <w:widowControl/>
              <w:wordWrap w:val="0"/>
              <w:spacing w:line="420" w:lineRule="atLeast"/>
              <w:jc w:val="left"/>
              <w:rPr>
                <w:rFonts w:ascii="微软雅黑" w:eastAsia="微软雅黑" w:hAnsi="微软雅黑" w:cs="宋体"/>
                <w:kern w:val="0"/>
                <w:szCs w:val="21"/>
              </w:rPr>
            </w:pPr>
            <w:proofErr w:type="gramStart"/>
            <w:r w:rsidRPr="002079C3">
              <w:rPr>
                <w:rFonts w:ascii="微软雅黑" w:eastAsia="微软雅黑" w:hAnsi="微软雅黑" w:cs="宋体" w:hint="eastAsia"/>
                <w:kern w:val="0"/>
                <w:szCs w:val="21"/>
              </w:rPr>
              <w:t>建办标〔2021〕</w:t>
            </w:r>
            <w:proofErr w:type="gramEnd"/>
            <w:r w:rsidRPr="002079C3">
              <w:rPr>
                <w:rFonts w:ascii="微软雅黑" w:eastAsia="微软雅黑" w:hAnsi="微软雅黑" w:cs="宋体" w:hint="eastAsia"/>
                <w:kern w:val="0"/>
                <w:szCs w:val="21"/>
              </w:rPr>
              <w:t>26号</w:t>
            </w:r>
          </w:p>
        </w:tc>
        <w:tc>
          <w:tcPr>
            <w:tcW w:w="1260" w:type="dxa"/>
            <w:noWrap/>
            <w:tcMar>
              <w:top w:w="0" w:type="dxa"/>
              <w:left w:w="0" w:type="dxa"/>
              <w:bottom w:w="0" w:type="dxa"/>
              <w:right w:w="0" w:type="dxa"/>
            </w:tcMar>
            <w:hideMark/>
          </w:tcPr>
          <w:p w:rsidR="002079C3" w:rsidRPr="002079C3" w:rsidRDefault="002079C3" w:rsidP="002079C3">
            <w:pPr>
              <w:widowControl/>
              <w:wordWrap w:val="0"/>
              <w:spacing w:line="420" w:lineRule="atLeast"/>
              <w:jc w:val="left"/>
              <w:rPr>
                <w:rFonts w:ascii="微软雅黑" w:eastAsia="微软雅黑" w:hAnsi="微软雅黑" w:cs="宋体"/>
                <w:kern w:val="0"/>
                <w:szCs w:val="21"/>
              </w:rPr>
            </w:pPr>
            <w:r w:rsidRPr="002079C3">
              <w:rPr>
                <w:rFonts w:ascii="微软雅黑" w:eastAsia="微软雅黑" w:hAnsi="微软雅黑" w:cs="宋体" w:hint="eastAsia"/>
                <w:kern w:val="0"/>
                <w:szCs w:val="21"/>
              </w:rPr>
              <w:t>主</w:t>
            </w:r>
            <w:r w:rsidRPr="002079C3">
              <w:rPr>
                <w:rFonts w:ascii="微软雅黑" w:eastAsia="微软雅黑" w:hAnsi="微软雅黑" w:cs="宋体" w:hint="eastAsia"/>
                <w:kern w:val="0"/>
                <w:szCs w:val="21"/>
              </w:rPr>
              <w:t> </w:t>
            </w:r>
            <w:r w:rsidRPr="002079C3">
              <w:rPr>
                <w:rFonts w:ascii="微软雅黑" w:eastAsia="微软雅黑" w:hAnsi="微软雅黑" w:cs="宋体" w:hint="eastAsia"/>
                <w:kern w:val="0"/>
                <w:szCs w:val="21"/>
              </w:rPr>
              <w:t>题</w:t>
            </w:r>
            <w:r w:rsidRPr="002079C3">
              <w:rPr>
                <w:rFonts w:ascii="微软雅黑" w:eastAsia="微软雅黑" w:hAnsi="微软雅黑" w:cs="宋体" w:hint="eastAsia"/>
                <w:kern w:val="0"/>
                <w:szCs w:val="21"/>
              </w:rPr>
              <w:t> </w:t>
            </w:r>
            <w:r w:rsidRPr="002079C3">
              <w:rPr>
                <w:rFonts w:ascii="微软雅黑" w:eastAsia="微软雅黑" w:hAnsi="微软雅黑" w:cs="宋体" w:hint="eastAsia"/>
                <w:kern w:val="0"/>
                <w:szCs w:val="21"/>
              </w:rPr>
              <w:t>词：</w:t>
            </w:r>
          </w:p>
        </w:tc>
        <w:tc>
          <w:tcPr>
            <w:tcW w:w="0" w:type="auto"/>
            <w:tcMar>
              <w:top w:w="0" w:type="dxa"/>
              <w:left w:w="0" w:type="dxa"/>
              <w:bottom w:w="0" w:type="dxa"/>
              <w:right w:w="0" w:type="dxa"/>
            </w:tcMar>
            <w:hideMark/>
          </w:tcPr>
          <w:p w:rsidR="002079C3" w:rsidRPr="002079C3" w:rsidRDefault="002079C3" w:rsidP="002079C3">
            <w:pPr>
              <w:widowControl/>
              <w:wordWrap w:val="0"/>
              <w:spacing w:line="420" w:lineRule="atLeast"/>
              <w:jc w:val="left"/>
              <w:rPr>
                <w:rFonts w:ascii="微软雅黑" w:eastAsia="微软雅黑" w:hAnsi="微软雅黑" w:cs="宋体"/>
                <w:kern w:val="0"/>
                <w:szCs w:val="21"/>
              </w:rPr>
            </w:pPr>
          </w:p>
        </w:tc>
      </w:tr>
      <w:tr w:rsidR="002079C3" w:rsidRPr="002079C3" w:rsidTr="002079C3">
        <w:tc>
          <w:tcPr>
            <w:tcW w:w="1260" w:type="dxa"/>
            <w:noWrap/>
            <w:tcMar>
              <w:top w:w="0" w:type="dxa"/>
              <w:left w:w="0" w:type="dxa"/>
              <w:bottom w:w="0" w:type="dxa"/>
              <w:right w:w="0" w:type="dxa"/>
            </w:tcMar>
            <w:hideMark/>
          </w:tcPr>
          <w:p w:rsidR="002079C3" w:rsidRPr="002079C3" w:rsidRDefault="002079C3" w:rsidP="002079C3">
            <w:pPr>
              <w:widowControl/>
              <w:wordWrap w:val="0"/>
              <w:spacing w:line="420" w:lineRule="atLeast"/>
              <w:jc w:val="left"/>
              <w:rPr>
                <w:rFonts w:ascii="微软雅黑" w:eastAsia="微软雅黑" w:hAnsi="微软雅黑" w:cs="宋体"/>
                <w:kern w:val="0"/>
                <w:szCs w:val="21"/>
              </w:rPr>
            </w:pPr>
            <w:r w:rsidRPr="002079C3">
              <w:rPr>
                <w:rFonts w:ascii="微软雅黑" w:eastAsia="微软雅黑" w:hAnsi="微软雅黑" w:cs="宋体" w:hint="eastAsia"/>
                <w:kern w:val="0"/>
                <w:szCs w:val="21"/>
              </w:rPr>
              <w:t>实施日期：</w:t>
            </w:r>
          </w:p>
        </w:tc>
        <w:tc>
          <w:tcPr>
            <w:tcW w:w="0" w:type="auto"/>
            <w:tcMar>
              <w:top w:w="0" w:type="dxa"/>
              <w:left w:w="0" w:type="dxa"/>
              <w:bottom w:w="0" w:type="dxa"/>
              <w:right w:w="0" w:type="dxa"/>
            </w:tcMar>
            <w:hideMark/>
          </w:tcPr>
          <w:p w:rsidR="002079C3" w:rsidRPr="002079C3" w:rsidRDefault="002079C3" w:rsidP="002079C3">
            <w:pPr>
              <w:widowControl/>
              <w:wordWrap w:val="0"/>
              <w:spacing w:line="420" w:lineRule="atLeast"/>
              <w:jc w:val="left"/>
              <w:rPr>
                <w:rFonts w:ascii="微软雅黑" w:eastAsia="微软雅黑" w:hAnsi="微软雅黑" w:cs="宋体"/>
                <w:kern w:val="0"/>
                <w:szCs w:val="21"/>
              </w:rPr>
            </w:pPr>
          </w:p>
        </w:tc>
        <w:tc>
          <w:tcPr>
            <w:tcW w:w="1260" w:type="dxa"/>
            <w:noWrap/>
            <w:tcMar>
              <w:top w:w="0" w:type="dxa"/>
              <w:left w:w="0" w:type="dxa"/>
              <w:bottom w:w="0" w:type="dxa"/>
              <w:right w:w="0" w:type="dxa"/>
            </w:tcMar>
            <w:hideMark/>
          </w:tcPr>
          <w:p w:rsidR="002079C3" w:rsidRPr="002079C3" w:rsidRDefault="002079C3" w:rsidP="002079C3">
            <w:pPr>
              <w:widowControl/>
              <w:wordWrap w:val="0"/>
              <w:spacing w:line="420" w:lineRule="atLeast"/>
              <w:jc w:val="left"/>
              <w:rPr>
                <w:rFonts w:ascii="微软雅黑" w:eastAsia="微软雅黑" w:hAnsi="微软雅黑" w:cs="宋体"/>
                <w:kern w:val="0"/>
                <w:szCs w:val="21"/>
              </w:rPr>
            </w:pPr>
            <w:r w:rsidRPr="002079C3">
              <w:rPr>
                <w:rFonts w:ascii="微软雅黑" w:eastAsia="微软雅黑" w:hAnsi="微软雅黑" w:cs="宋体" w:hint="eastAsia"/>
                <w:kern w:val="0"/>
                <w:szCs w:val="21"/>
              </w:rPr>
              <w:t>废止日期：</w:t>
            </w:r>
          </w:p>
        </w:tc>
        <w:tc>
          <w:tcPr>
            <w:tcW w:w="0" w:type="auto"/>
            <w:tcMar>
              <w:top w:w="0" w:type="dxa"/>
              <w:left w:w="0" w:type="dxa"/>
              <w:bottom w:w="0" w:type="dxa"/>
              <w:right w:w="0" w:type="dxa"/>
            </w:tcMar>
            <w:hideMark/>
          </w:tcPr>
          <w:p w:rsidR="002079C3" w:rsidRPr="002079C3" w:rsidRDefault="002079C3" w:rsidP="002079C3">
            <w:pPr>
              <w:widowControl/>
              <w:wordWrap w:val="0"/>
              <w:spacing w:line="420" w:lineRule="atLeast"/>
              <w:jc w:val="left"/>
              <w:rPr>
                <w:rFonts w:ascii="微软雅黑" w:eastAsia="微软雅黑" w:hAnsi="微软雅黑" w:cs="宋体"/>
                <w:kern w:val="0"/>
                <w:szCs w:val="21"/>
              </w:rPr>
            </w:pPr>
          </w:p>
        </w:tc>
      </w:tr>
    </w:tbl>
    <w:p w:rsidR="002079C3" w:rsidRPr="00351EC4" w:rsidRDefault="002079C3" w:rsidP="002079C3">
      <w:pPr>
        <w:widowControl/>
        <w:shd w:val="clear" w:color="auto" w:fill="FFFFFF"/>
        <w:jc w:val="center"/>
        <w:rPr>
          <w:rFonts w:ascii="华文中宋" w:eastAsia="华文中宋" w:hAnsi="华文中宋" w:cs="宋体"/>
          <w:b/>
          <w:color w:val="393939"/>
          <w:kern w:val="0"/>
          <w:sz w:val="44"/>
          <w:szCs w:val="44"/>
        </w:rPr>
      </w:pPr>
      <w:r w:rsidRPr="00351EC4">
        <w:rPr>
          <w:rFonts w:ascii="华文中宋" w:eastAsia="华文中宋" w:hAnsi="华文中宋" w:cs="宋体" w:hint="eastAsia"/>
          <w:b/>
          <w:color w:val="393939"/>
          <w:kern w:val="0"/>
          <w:sz w:val="44"/>
          <w:szCs w:val="44"/>
        </w:rPr>
        <w:t>住房和城乡建设部办公厅关于取消</w:t>
      </w:r>
      <w:r w:rsidRPr="00351EC4">
        <w:rPr>
          <w:rFonts w:ascii="华文中宋" w:eastAsia="华文中宋" w:hAnsi="华文中宋" w:cs="宋体" w:hint="eastAsia"/>
          <w:b/>
          <w:color w:val="393939"/>
          <w:kern w:val="0"/>
          <w:sz w:val="44"/>
          <w:szCs w:val="44"/>
        </w:rPr>
        <w:br/>
        <w:t>工程造价咨询企业资质审批</w:t>
      </w:r>
      <w:r w:rsidRPr="00351EC4">
        <w:rPr>
          <w:rFonts w:ascii="华文中宋" w:eastAsia="华文中宋" w:hAnsi="华文中宋" w:cs="宋体" w:hint="eastAsia"/>
          <w:b/>
          <w:color w:val="393939"/>
          <w:kern w:val="0"/>
          <w:sz w:val="44"/>
          <w:szCs w:val="44"/>
        </w:rPr>
        <w:br/>
        <w:t>加强事中事后监管的通知</w:t>
      </w:r>
    </w:p>
    <w:p w:rsidR="002079C3" w:rsidRPr="00351EC4" w:rsidRDefault="002079C3" w:rsidP="002079C3">
      <w:pPr>
        <w:widowControl/>
        <w:shd w:val="clear" w:color="auto" w:fill="FFFFFF"/>
        <w:spacing w:line="450" w:lineRule="atLeast"/>
        <w:jc w:val="left"/>
        <w:rPr>
          <w:rFonts w:ascii="微软雅黑" w:eastAsia="微软雅黑" w:hAnsi="微软雅黑" w:cs="宋体"/>
          <w:color w:val="000000"/>
          <w:kern w:val="0"/>
          <w:sz w:val="28"/>
          <w:szCs w:val="28"/>
        </w:rPr>
      </w:pPr>
      <w:r w:rsidRPr="00351EC4">
        <w:rPr>
          <w:rFonts w:ascii="微软雅黑" w:eastAsia="微软雅黑" w:hAnsi="微软雅黑" w:cs="宋体" w:hint="eastAsia"/>
          <w:color w:val="000000"/>
          <w:kern w:val="0"/>
          <w:sz w:val="28"/>
          <w:szCs w:val="28"/>
        </w:rPr>
        <w:t>各省、自治区住房和城乡建设厅，直辖市住房和城乡建设（管）委，新疆生产建设兵团住房和城乡建设局，国务院有关部门建设工程造价管理机构，各有关单位：</w:t>
      </w:r>
      <w:r w:rsidRPr="00351EC4">
        <w:rPr>
          <w:rFonts w:ascii="微软雅黑" w:eastAsia="微软雅黑" w:hAnsi="微软雅黑" w:cs="宋体" w:hint="eastAsia"/>
          <w:color w:val="000000"/>
          <w:kern w:val="0"/>
          <w:sz w:val="28"/>
          <w:szCs w:val="28"/>
        </w:rPr>
        <w:br/>
        <w:t xml:space="preserve">　　为贯彻落实《国务院关于深化“证照分离”改革 进一步激发市场主体发展活力的通知》（国发〔2021〕7号），持续深入推进“放管服”改革，取消工程造价咨询企业资质审批，创新和完善工程造价咨询监管方式，加强事中事后监管，现就有关事项通知如下：</w:t>
      </w:r>
    </w:p>
    <w:p w:rsidR="002079C3" w:rsidRPr="00351EC4" w:rsidRDefault="002079C3" w:rsidP="002079C3">
      <w:pPr>
        <w:widowControl/>
        <w:shd w:val="clear" w:color="auto" w:fill="FFFFFF"/>
        <w:spacing w:before="225" w:line="450" w:lineRule="atLeast"/>
        <w:jc w:val="left"/>
        <w:rPr>
          <w:rFonts w:ascii="微软雅黑" w:eastAsia="微软雅黑" w:hAnsi="微软雅黑" w:cs="宋体"/>
          <w:color w:val="000000"/>
          <w:kern w:val="0"/>
          <w:sz w:val="28"/>
          <w:szCs w:val="28"/>
        </w:rPr>
      </w:pPr>
      <w:r w:rsidRPr="00351EC4">
        <w:rPr>
          <w:rFonts w:ascii="微软雅黑" w:eastAsia="微软雅黑" w:hAnsi="微软雅黑" w:cs="宋体" w:hint="eastAsia"/>
          <w:color w:val="000000"/>
          <w:kern w:val="0"/>
          <w:sz w:val="28"/>
          <w:szCs w:val="28"/>
        </w:rPr>
        <w:lastRenderedPageBreak/>
        <w:t xml:space="preserve">　　一、取消工程造价咨询企业资质审批。按照国发〔2021〕7号文件要求，自2021年7月1日起，住房和城乡建设主管部门停止工程造价咨询企业资质审批，工程造价咨询企业按照其营业执照经营范围开展业务，行政机关、企事业单位、行业组织不得要求企业提供工程造价咨询企业资质证明。2021年6月3日起，住房和城乡建设主管部门不再办理工程造价咨询企业资质延续手续，到期需延续的企业，有效期自动延续至2021年6月30日。</w:t>
      </w:r>
    </w:p>
    <w:p w:rsidR="002079C3" w:rsidRPr="00351EC4" w:rsidRDefault="002079C3" w:rsidP="002079C3">
      <w:pPr>
        <w:widowControl/>
        <w:shd w:val="clear" w:color="auto" w:fill="FFFFFF"/>
        <w:spacing w:before="225" w:line="450" w:lineRule="atLeast"/>
        <w:jc w:val="left"/>
        <w:rPr>
          <w:rFonts w:ascii="微软雅黑" w:eastAsia="微软雅黑" w:hAnsi="微软雅黑" w:cs="宋体"/>
          <w:color w:val="000000"/>
          <w:kern w:val="0"/>
          <w:sz w:val="28"/>
          <w:szCs w:val="28"/>
        </w:rPr>
      </w:pPr>
      <w:r w:rsidRPr="00351EC4">
        <w:rPr>
          <w:rFonts w:ascii="微软雅黑" w:eastAsia="微软雅黑" w:hAnsi="微软雅黑" w:cs="宋体" w:hint="eastAsia"/>
          <w:color w:val="000000"/>
          <w:kern w:val="0"/>
          <w:sz w:val="28"/>
          <w:szCs w:val="28"/>
        </w:rPr>
        <w:t xml:space="preserve">　　二、健全企业信息管理制度。各级住房和城乡建设主管部门要加强与市场监管等有关部门沟通协调，结合工程造价咨询统计调查数据，健全工程造价咨询企业名录，积极做好行政区域内企业信息的归集、共享和公开工作。鼓励企业自愿在全国工程造价咨询管理系统完善并及时更新相关信息，</w:t>
      </w:r>
      <w:proofErr w:type="gramStart"/>
      <w:r w:rsidRPr="00351EC4">
        <w:rPr>
          <w:rFonts w:ascii="微软雅黑" w:eastAsia="微软雅黑" w:hAnsi="微软雅黑" w:cs="宋体" w:hint="eastAsia"/>
          <w:color w:val="000000"/>
          <w:kern w:val="0"/>
          <w:sz w:val="28"/>
          <w:szCs w:val="28"/>
        </w:rPr>
        <w:t>供委托</w:t>
      </w:r>
      <w:proofErr w:type="gramEnd"/>
      <w:r w:rsidRPr="00351EC4">
        <w:rPr>
          <w:rFonts w:ascii="微软雅黑" w:eastAsia="微软雅黑" w:hAnsi="微软雅黑" w:cs="宋体" w:hint="eastAsia"/>
          <w:color w:val="000000"/>
          <w:kern w:val="0"/>
          <w:sz w:val="28"/>
          <w:szCs w:val="28"/>
        </w:rPr>
        <w:t>方根据工程项目实际情况选择参考。企业对所填写信息的真实性和准确性负责，并接受社会监督。对于提供虚假信息的工程造价咨询企业，不良行为记入企业社会信用档案。</w:t>
      </w:r>
    </w:p>
    <w:p w:rsidR="002079C3" w:rsidRPr="00351EC4" w:rsidRDefault="002079C3" w:rsidP="002079C3">
      <w:pPr>
        <w:widowControl/>
        <w:shd w:val="clear" w:color="auto" w:fill="FFFFFF"/>
        <w:spacing w:before="225" w:line="450" w:lineRule="atLeast"/>
        <w:jc w:val="left"/>
        <w:rPr>
          <w:rFonts w:ascii="微软雅黑" w:eastAsia="微软雅黑" w:hAnsi="微软雅黑" w:cs="宋体"/>
          <w:color w:val="000000"/>
          <w:kern w:val="0"/>
          <w:sz w:val="28"/>
          <w:szCs w:val="28"/>
        </w:rPr>
      </w:pPr>
      <w:r w:rsidRPr="00351EC4">
        <w:rPr>
          <w:rFonts w:ascii="微软雅黑" w:eastAsia="微软雅黑" w:hAnsi="微软雅黑" w:cs="宋体" w:hint="eastAsia"/>
          <w:color w:val="000000"/>
          <w:kern w:val="0"/>
          <w:sz w:val="28"/>
          <w:szCs w:val="28"/>
        </w:rPr>
        <w:t xml:space="preserve">　　三、推进信用体系建设。各级住房和城乡建设主管部门要进一步完善工程造价咨询企业诚信长效机制，加强信用管理，及时将行政处罚、生效的司法判决等信息归集至全国工程造价咨询管理系统，充分运用信息化手段实行动态监管。依法实施失信惩戒，提高工程造价咨询企业诚信意识，努力营造诚实守信的市场环境。</w:t>
      </w:r>
    </w:p>
    <w:p w:rsidR="002079C3" w:rsidRPr="00351EC4" w:rsidRDefault="002079C3" w:rsidP="002079C3">
      <w:pPr>
        <w:widowControl/>
        <w:shd w:val="clear" w:color="auto" w:fill="FFFFFF"/>
        <w:spacing w:before="225" w:line="450" w:lineRule="atLeast"/>
        <w:jc w:val="left"/>
        <w:rPr>
          <w:rFonts w:ascii="微软雅黑" w:eastAsia="微软雅黑" w:hAnsi="微软雅黑" w:cs="宋体"/>
          <w:color w:val="000000"/>
          <w:kern w:val="0"/>
          <w:sz w:val="28"/>
          <w:szCs w:val="28"/>
        </w:rPr>
      </w:pPr>
      <w:r w:rsidRPr="00351EC4">
        <w:rPr>
          <w:rFonts w:ascii="微软雅黑" w:eastAsia="微软雅黑" w:hAnsi="微软雅黑" w:cs="宋体" w:hint="eastAsia"/>
          <w:color w:val="000000"/>
          <w:kern w:val="0"/>
          <w:sz w:val="28"/>
          <w:szCs w:val="28"/>
        </w:rPr>
        <w:lastRenderedPageBreak/>
        <w:t xml:space="preserve">　　四、构建协同监管新格局。健全政府主导、企业自治、行业自律、社会监督的协同监管格局。探索建立企业信用与执业人员信用挂钩机制，强化个人执业资格管理，落实工程造价咨询成果质量终身责任制，推广职业保险制度。支持行业协会提升自律水平，完善会员自律公约和职业道德准则，做好会员信用评价工作，加强会员行为约束和管理。充分发挥社会监督力量参与市场秩序治理。鼓励</w:t>
      </w:r>
      <w:bookmarkStart w:id="0" w:name="_GoBack"/>
      <w:bookmarkEnd w:id="0"/>
      <w:r w:rsidRPr="00351EC4">
        <w:rPr>
          <w:rFonts w:ascii="微软雅黑" w:eastAsia="微软雅黑" w:hAnsi="微软雅黑" w:cs="宋体" w:hint="eastAsia"/>
          <w:color w:val="000000"/>
          <w:kern w:val="0"/>
          <w:sz w:val="28"/>
          <w:szCs w:val="28"/>
        </w:rPr>
        <w:t>第三方信用服务机构开展信用业务。</w:t>
      </w:r>
    </w:p>
    <w:p w:rsidR="002079C3" w:rsidRPr="00351EC4" w:rsidRDefault="002079C3" w:rsidP="002079C3">
      <w:pPr>
        <w:widowControl/>
        <w:shd w:val="clear" w:color="auto" w:fill="FFFFFF"/>
        <w:spacing w:before="225" w:line="450" w:lineRule="atLeast"/>
        <w:jc w:val="left"/>
        <w:rPr>
          <w:rFonts w:ascii="微软雅黑" w:eastAsia="微软雅黑" w:hAnsi="微软雅黑" w:cs="宋体"/>
          <w:color w:val="000000"/>
          <w:kern w:val="0"/>
          <w:sz w:val="28"/>
          <w:szCs w:val="28"/>
        </w:rPr>
      </w:pPr>
      <w:r w:rsidRPr="00351EC4">
        <w:rPr>
          <w:rFonts w:ascii="微软雅黑" w:eastAsia="微软雅黑" w:hAnsi="微软雅黑" w:cs="宋体" w:hint="eastAsia"/>
          <w:color w:val="000000"/>
          <w:kern w:val="0"/>
          <w:sz w:val="28"/>
          <w:szCs w:val="28"/>
        </w:rPr>
        <w:t xml:space="preserve">　　五、提升工程造价咨询服务能力。继续落实《关于推进全过程工程咨询服务发展的指导意见》（</w:t>
      </w:r>
      <w:proofErr w:type="gramStart"/>
      <w:r w:rsidRPr="00351EC4">
        <w:rPr>
          <w:rFonts w:ascii="微软雅黑" w:eastAsia="微软雅黑" w:hAnsi="微软雅黑" w:cs="宋体" w:hint="eastAsia"/>
          <w:color w:val="000000"/>
          <w:kern w:val="0"/>
          <w:sz w:val="28"/>
          <w:szCs w:val="28"/>
        </w:rPr>
        <w:t>发改投资规</w:t>
      </w:r>
      <w:proofErr w:type="gramEnd"/>
      <w:r w:rsidRPr="00351EC4">
        <w:rPr>
          <w:rFonts w:ascii="微软雅黑" w:eastAsia="微软雅黑" w:hAnsi="微软雅黑" w:cs="宋体" w:hint="eastAsia"/>
          <w:color w:val="000000"/>
          <w:kern w:val="0"/>
          <w:sz w:val="28"/>
          <w:szCs w:val="28"/>
        </w:rPr>
        <w:t>〔2019〕515号）精神，深化工程领域咨询服务供给侧结构性改革，积极培育具有全过程咨询能力的工程造价咨询企业，提高企业服务水平和国际竞争力。</w:t>
      </w:r>
    </w:p>
    <w:p w:rsidR="002079C3" w:rsidRPr="00351EC4" w:rsidRDefault="002079C3" w:rsidP="002079C3">
      <w:pPr>
        <w:widowControl/>
        <w:shd w:val="clear" w:color="auto" w:fill="FFFFFF"/>
        <w:spacing w:before="225" w:line="450" w:lineRule="atLeast"/>
        <w:jc w:val="left"/>
        <w:rPr>
          <w:rFonts w:ascii="微软雅黑" w:eastAsia="微软雅黑" w:hAnsi="微软雅黑" w:cs="宋体"/>
          <w:color w:val="000000"/>
          <w:kern w:val="0"/>
          <w:sz w:val="28"/>
          <w:szCs w:val="28"/>
        </w:rPr>
      </w:pPr>
      <w:r w:rsidRPr="00351EC4">
        <w:rPr>
          <w:rFonts w:ascii="微软雅黑" w:eastAsia="微软雅黑" w:hAnsi="微软雅黑" w:cs="宋体" w:hint="eastAsia"/>
          <w:color w:val="000000"/>
          <w:kern w:val="0"/>
          <w:sz w:val="28"/>
          <w:szCs w:val="28"/>
        </w:rPr>
        <w:t xml:space="preserve">　　六、加强事中事后监管。各级住房和城乡建设主管部门要高度重视工程造价咨询企业资质取消后的事中事后监管工作，落实放管结合的要求，健全审管衔接机制，完善工作机制，创新监管手段，加大监管力度，依法履行监管职责。全面推行“双随机、</w:t>
      </w:r>
      <w:proofErr w:type="gramStart"/>
      <w:r w:rsidRPr="00351EC4">
        <w:rPr>
          <w:rFonts w:ascii="微软雅黑" w:eastAsia="微软雅黑" w:hAnsi="微软雅黑" w:cs="宋体" w:hint="eastAsia"/>
          <w:color w:val="000000"/>
          <w:kern w:val="0"/>
          <w:sz w:val="28"/>
          <w:szCs w:val="28"/>
        </w:rPr>
        <w:t>一</w:t>
      </w:r>
      <w:proofErr w:type="gramEnd"/>
      <w:r w:rsidRPr="00351EC4">
        <w:rPr>
          <w:rFonts w:ascii="微软雅黑" w:eastAsia="微软雅黑" w:hAnsi="微软雅黑" w:cs="宋体" w:hint="eastAsia"/>
          <w:color w:val="000000"/>
          <w:kern w:val="0"/>
          <w:sz w:val="28"/>
          <w:szCs w:val="28"/>
        </w:rPr>
        <w:t>公开”监管，根据企业信用风险分类结果实施差异化监管措施，及时查处相关违法、违规行为，并将监督检查结果向社会公布。</w:t>
      </w:r>
    </w:p>
    <w:p w:rsidR="002079C3" w:rsidRPr="00351EC4" w:rsidRDefault="002079C3" w:rsidP="002079C3">
      <w:pPr>
        <w:widowControl/>
        <w:shd w:val="clear" w:color="auto" w:fill="FFFFFF"/>
        <w:spacing w:before="225" w:line="450" w:lineRule="atLeast"/>
        <w:ind w:leftChars="2150" w:left="4935" w:hangingChars="150" w:hanging="420"/>
        <w:jc w:val="left"/>
        <w:rPr>
          <w:rFonts w:ascii="微软雅黑" w:eastAsia="微软雅黑" w:hAnsi="微软雅黑" w:cs="宋体"/>
          <w:color w:val="000000"/>
          <w:kern w:val="0"/>
          <w:sz w:val="28"/>
          <w:szCs w:val="28"/>
        </w:rPr>
      </w:pPr>
      <w:r w:rsidRPr="00351EC4">
        <w:rPr>
          <w:rFonts w:ascii="微软雅黑" w:eastAsia="微软雅黑" w:hAnsi="微软雅黑" w:cs="宋体" w:hint="eastAsia"/>
          <w:color w:val="000000"/>
          <w:kern w:val="0"/>
          <w:sz w:val="28"/>
          <w:szCs w:val="28"/>
        </w:rPr>
        <w:t>住房和城乡建设部办公厅</w:t>
      </w:r>
      <w:r w:rsidRPr="00351EC4">
        <w:rPr>
          <w:rFonts w:ascii="微软雅黑" w:eastAsia="微软雅黑" w:hAnsi="微软雅黑" w:cs="宋体" w:hint="eastAsia"/>
          <w:color w:val="000000"/>
          <w:kern w:val="0"/>
          <w:sz w:val="28"/>
          <w:szCs w:val="28"/>
        </w:rPr>
        <w:br/>
        <w:t>2021年6月28日</w:t>
      </w:r>
    </w:p>
    <w:p w:rsidR="002079C3" w:rsidRPr="002079C3" w:rsidRDefault="002079C3" w:rsidP="002079C3">
      <w:pPr>
        <w:widowControl/>
        <w:shd w:val="clear" w:color="auto" w:fill="FFFFFF"/>
        <w:spacing w:before="225" w:line="450" w:lineRule="atLeast"/>
        <w:jc w:val="left"/>
        <w:rPr>
          <w:rFonts w:ascii="微软雅黑" w:eastAsia="微软雅黑" w:hAnsi="微软雅黑" w:cs="宋体"/>
          <w:color w:val="000000"/>
          <w:kern w:val="0"/>
          <w:sz w:val="24"/>
          <w:szCs w:val="24"/>
        </w:rPr>
      </w:pPr>
      <w:r w:rsidRPr="002079C3">
        <w:rPr>
          <w:rFonts w:ascii="微软雅黑" w:eastAsia="微软雅黑" w:hAnsi="微软雅黑" w:cs="宋体" w:hint="eastAsia"/>
          <w:color w:val="000000"/>
          <w:kern w:val="0"/>
          <w:sz w:val="24"/>
          <w:szCs w:val="24"/>
        </w:rPr>
        <w:t xml:space="preserve">　　（此件主动公开）</w:t>
      </w:r>
    </w:p>
    <w:p w:rsidR="008D3D31" w:rsidRDefault="008D3D31"/>
    <w:sectPr w:rsidR="008D3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C3"/>
    <w:rsid w:val="002079C3"/>
    <w:rsid w:val="00351EC4"/>
    <w:rsid w:val="008D3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3D4DC-B3A5-4365-8994-8067A07D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99655">
      <w:bodyDiv w:val="1"/>
      <w:marLeft w:val="0"/>
      <w:marRight w:val="0"/>
      <w:marTop w:val="0"/>
      <w:marBottom w:val="0"/>
      <w:divBdr>
        <w:top w:val="none" w:sz="0" w:space="0" w:color="auto"/>
        <w:left w:val="none" w:sz="0" w:space="0" w:color="auto"/>
        <w:bottom w:val="none" w:sz="0" w:space="0" w:color="auto"/>
        <w:right w:val="none" w:sz="0" w:space="0" w:color="auto"/>
      </w:divBdr>
      <w:divsChild>
        <w:div w:id="162209098">
          <w:marLeft w:val="0"/>
          <w:marRight w:val="0"/>
          <w:marTop w:val="0"/>
          <w:marBottom w:val="75"/>
          <w:divBdr>
            <w:top w:val="none" w:sz="0" w:space="0" w:color="auto"/>
            <w:left w:val="none" w:sz="0" w:space="0" w:color="auto"/>
            <w:bottom w:val="none" w:sz="0" w:space="0" w:color="auto"/>
            <w:right w:val="none" w:sz="0" w:space="0" w:color="auto"/>
          </w:divBdr>
          <w:divsChild>
            <w:div w:id="76440019">
              <w:marLeft w:val="0"/>
              <w:marRight w:val="0"/>
              <w:marTop w:val="0"/>
              <w:marBottom w:val="0"/>
              <w:divBdr>
                <w:top w:val="none" w:sz="0" w:space="0" w:color="auto"/>
                <w:left w:val="none" w:sz="0" w:space="0" w:color="auto"/>
                <w:bottom w:val="none" w:sz="0" w:space="0" w:color="auto"/>
                <w:right w:val="none" w:sz="0" w:space="0" w:color="auto"/>
              </w:divBdr>
            </w:div>
          </w:divsChild>
        </w:div>
        <w:div w:id="99572294">
          <w:marLeft w:val="0"/>
          <w:marRight w:val="0"/>
          <w:marTop w:val="0"/>
          <w:marBottom w:val="0"/>
          <w:divBdr>
            <w:top w:val="none" w:sz="0" w:space="0" w:color="auto"/>
            <w:left w:val="none" w:sz="0" w:space="0" w:color="auto"/>
            <w:bottom w:val="none" w:sz="0" w:space="0" w:color="auto"/>
            <w:right w:val="none" w:sz="0" w:space="0" w:color="auto"/>
          </w:divBdr>
          <w:divsChild>
            <w:div w:id="1331370058">
              <w:marLeft w:val="0"/>
              <w:marRight w:val="0"/>
              <w:marTop w:val="0"/>
              <w:marBottom w:val="750"/>
              <w:divBdr>
                <w:top w:val="dotted" w:sz="12" w:space="15" w:color="000000"/>
                <w:left w:val="none" w:sz="0" w:space="0" w:color="auto"/>
                <w:bottom w:val="dotted" w:sz="12" w:space="15" w:color="000000"/>
                <w:right w:val="none" w:sz="0" w:space="0" w:color="auto"/>
              </w:divBdr>
            </w:div>
            <w:div w:id="1561937883">
              <w:marLeft w:val="0"/>
              <w:marRight w:val="0"/>
              <w:marTop w:val="0"/>
              <w:marBottom w:val="0"/>
              <w:divBdr>
                <w:top w:val="none" w:sz="0" w:space="0" w:color="auto"/>
                <w:left w:val="none" w:sz="0" w:space="0" w:color="auto"/>
                <w:bottom w:val="none" w:sz="0" w:space="0" w:color="auto"/>
                <w:right w:val="none" w:sz="0" w:space="0" w:color="auto"/>
              </w:divBdr>
            </w:div>
            <w:div w:id="459030869">
              <w:marLeft w:val="0"/>
              <w:marRight w:val="0"/>
              <w:marTop w:val="0"/>
              <w:marBottom w:val="0"/>
              <w:divBdr>
                <w:top w:val="none" w:sz="0" w:space="0" w:color="auto"/>
                <w:left w:val="none" w:sz="0" w:space="0" w:color="auto"/>
                <w:bottom w:val="none" w:sz="0" w:space="0" w:color="auto"/>
                <w:right w:val="none" w:sz="0" w:space="0" w:color="auto"/>
              </w:divBdr>
              <w:divsChild>
                <w:div w:id="743920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hurd.gov.cn/file/2023/20230508/ed0c77c0-ff04-4231-81e3-faddb982a883.pdf?n=%E4%BD%8F%E6%88%BF%E5%92%8C%E5%9F%8E%E4%B9%A1%E5%BB%BA%E8%AE%BE%E9%83%A8%E5%8A%9E%E5%85%AC%E5%8E%85%E5%85%B3%E4%BA%8E%E5%8F%96%E6%B6%88+%E5%B7%A5%E7%A8%8B%E9%80%A0%E4%BB%B7%E5%92%A8%E8%AF%A2%E4%BC%81%E4%B8%9A%E8%B5%84%E8%B4%A8%E5%AE%A1%E6%89%B9+%E5%8A%A0%E5%BC%BA%E4%BA%8B%E4%B8%AD%E4%BA%8B%E5%90%8E%E7%9B%91%E7%AE%A1%E7%9A%84%E9%80%9A%E7%9F%A5-%E5%9B%BE%E7%89%87%E7%89%88" TargetMode="External"/><Relationship Id="rId4" Type="http://schemas.openxmlformats.org/officeDocument/2006/relationships/hyperlink" Target="https://www.mohurd.gov.cn/file/2023/20230508/53f3388c-4915-4856-a49a-ce2a2ddad888.docx?n=%E4%BD%8F%E6%88%BF%E5%92%8C%E5%9F%8E%E4%B9%A1%E5%BB%BA%E8%AE%BE%E9%83%A8%E5%8A%9E%E5%85%AC%E5%8E%85%E5%85%B3%E4%BA%8E%E5%8F%96%E6%B6%88+%E5%B7%A5%E7%A8%8B%E9%80%A0%E4%BB%B7%E5%92%A8%E8%AF%A2%E4%BC%81%E4%B8%9A%E8%B5%84%E8%B4%A8%E5%AE%A1%E6%89%B9+%E5%8A%A0%E5%BC%BA%E4%BA%8B%E4%B8%AD%E4%BA%8B%E5%90%8E%E7%9B%91%E7%AE%A1%E7%9A%84%E9%80%9A%E7%9F%A5-%E6%96%87%E5%AD%97%E7%89%8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371</Words>
  <Characters>2116</Characters>
  <Application>Microsoft Office Word</Application>
  <DocSecurity>0</DocSecurity>
  <Lines>17</Lines>
  <Paragraphs>4</Paragraphs>
  <ScaleCrop>false</ScaleCrop>
  <Company>Microsoft</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2023-08-04T02:34:00Z</dcterms:created>
  <dcterms:modified xsi:type="dcterms:W3CDTF">2023-08-04T02:37:00Z</dcterms:modified>
</cp:coreProperties>
</file>